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134"/>
        <w:gridCol w:w="133"/>
        <w:gridCol w:w="1307"/>
        <w:gridCol w:w="1520"/>
        <w:gridCol w:w="17"/>
        <w:gridCol w:w="1639"/>
        <w:gridCol w:w="1622"/>
        <w:gridCol w:w="2126"/>
        <w:gridCol w:w="164"/>
        <w:gridCol w:w="1684"/>
        <w:gridCol w:w="1588"/>
      </w:tblGrid>
      <w:tr w:rsidR="006A766C" w:rsidRPr="006A766C" w:rsidTr="009C6C41">
        <w:trPr>
          <w:jc w:val="center"/>
        </w:trPr>
        <w:tc>
          <w:tcPr>
            <w:tcW w:w="885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15" w:type="pct"/>
            <w:gridSpan w:val="9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САОБРАЋАЈ</w:t>
            </w:r>
          </w:p>
        </w:tc>
      </w:tr>
      <w:tr w:rsidR="006A766C" w:rsidRPr="006A766C" w:rsidTr="009C6C41">
        <w:trPr>
          <w:jc w:val="center"/>
        </w:trPr>
        <w:tc>
          <w:tcPr>
            <w:tcW w:w="885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15" w:type="pct"/>
            <w:gridSpan w:val="9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ТЕХНИЧАР 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BA"/>
              </w:rPr>
              <w:t>ЖЕЉЕЗНИЧКОГ САОБРАЋАЈА</w:t>
            </w:r>
          </w:p>
        </w:tc>
      </w:tr>
      <w:tr w:rsidR="006A766C" w:rsidRPr="006A766C" w:rsidTr="009C6C41">
        <w:trPr>
          <w:jc w:val="center"/>
        </w:trPr>
        <w:tc>
          <w:tcPr>
            <w:tcW w:w="885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15" w:type="pct"/>
            <w:gridSpan w:val="9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ОРГАНИЗАЦИЈА ЖЕЉЕЗНИЧКОГ САОБРАЋАЈА</w:t>
            </w:r>
          </w:p>
        </w:tc>
      </w:tr>
      <w:tr w:rsidR="006A766C" w:rsidRPr="006A766C" w:rsidTr="009C6C41">
        <w:trPr>
          <w:jc w:val="center"/>
        </w:trPr>
        <w:tc>
          <w:tcPr>
            <w:tcW w:w="885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15" w:type="pct"/>
            <w:gridSpan w:val="9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CS"/>
              </w:rPr>
              <w:t xml:space="preserve">Стручно -теоријски предмет </w:t>
            </w:r>
          </w:p>
        </w:tc>
      </w:tr>
      <w:tr w:rsidR="006A766C" w:rsidRPr="006A766C" w:rsidTr="009C6C41">
        <w:trPr>
          <w:trHeight w:val="218"/>
          <w:jc w:val="center"/>
        </w:trPr>
        <w:tc>
          <w:tcPr>
            <w:tcW w:w="885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115" w:type="pct"/>
            <w:gridSpan w:val="9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bCs/>
                <w:lang w:val="bs-Cyrl-BA"/>
              </w:rPr>
              <w:t xml:space="preserve">Маневарски послови, састављање возова и пропратне исправе воза </w:t>
            </w:r>
          </w:p>
        </w:tc>
      </w:tr>
      <w:tr w:rsidR="006A766C" w:rsidRPr="006A766C" w:rsidTr="009C6C41">
        <w:trPr>
          <w:jc w:val="center"/>
        </w:trPr>
        <w:tc>
          <w:tcPr>
            <w:tcW w:w="438" w:type="pct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908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A766C">
              <w:rPr>
                <w:rFonts w:ascii="Times New Roman" w:eastAsia="Times New Roman" w:hAnsi="Times New Roman" w:cs="Times New Roman"/>
                <w:b/>
              </w:rPr>
              <w:t>202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RS"/>
              </w:rPr>
              <w:t>2</w:t>
            </w:r>
            <w:r w:rsidRPr="006A766C">
              <w:rPr>
                <w:rFonts w:ascii="Times New Roman" w:eastAsia="Times New Roman" w:hAnsi="Times New Roman" w:cs="Times New Roman"/>
                <w:b/>
              </w:rPr>
              <w:t>.</w:t>
            </w: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1120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380" w:type="pct"/>
            <w:gridSpan w:val="3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594" w:type="pct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Редни</w:t>
            </w:r>
            <w:r w:rsidRPr="006A766C">
              <w:rPr>
                <w:rFonts w:ascii="Times New Roman" w:eastAsia="Times New Roman" w:hAnsi="Times New Roman" w:cs="Times New Roman"/>
                <w:b/>
                <w:lang w:val="bs-Cyrl-BA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број:</w:t>
            </w:r>
          </w:p>
        </w:tc>
        <w:tc>
          <w:tcPr>
            <w:tcW w:w="560" w:type="pct"/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07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Модул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је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креиран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тако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омогући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ученицима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стицање основних знања и вјештина о маневарским пословима, састављању возова и пропратним исправама воза</w:t>
            </w:r>
            <w:r w:rsidRPr="006A766C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6A766C" w:rsidRPr="006A766C" w:rsidTr="009C6C41">
        <w:trPr>
          <w:trHeight w:val="83"/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завршетку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овог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модула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учени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ци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ће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бити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способ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ни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>: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објасне квачење возила приликом маневрисања;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примјене маневарске радње приликом маневрисања;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разликују врсте кретања приликом маневрисања</w:t>
            </w:r>
            <w:r w:rsidRPr="006A766C">
              <w:rPr>
                <w:rFonts w:ascii="Times New Roman" w:eastAsia="Times New Roman" w:hAnsi="Times New Roman" w:cs="Times New Roman"/>
                <w:lang w:val="en-GB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објасне маневрисање ради састављања и растављања возова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објасне употребу кочница и ручних папуча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примјене осигурање кола и возила од одбјегнућа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објасне чување безбедности радника за вријеме маневрисања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разликују која кола захтијевају посебну обазривост приликом маневрисања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примјене опште одредбе о састављању возова;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разликују увршћивање кола у возове за превоз путника и теретне возове као и увршћивање кола товарених опасним материјама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дужину и број осовина воза;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дефинише масу воза и вучену масу локомотиве;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употребу вучних возила у саобраћају;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разликују опрему воза и вучног возила;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разликују пропратне исправе воза;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објасне основну исправу воза – Путни лист;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објасне основну исправу вучног возила;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објасне извјештај о саставу и кочењу воза;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објасне теретницу;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објасне план рада воза.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Теме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Маневарски послови;</w:t>
            </w:r>
          </w:p>
          <w:p w:rsidR="006A766C" w:rsidRPr="006A766C" w:rsidRDefault="006A766C" w:rsidP="006A766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Састављање возова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Пропратне исправе воза.</w:t>
            </w:r>
          </w:p>
        </w:tc>
      </w:tr>
      <w:tr w:rsidR="006A766C" w:rsidRPr="006A766C" w:rsidTr="009C6C41">
        <w:trPr>
          <w:jc w:val="center"/>
        </w:trPr>
        <w:tc>
          <w:tcPr>
            <w:tcW w:w="838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Тема</w:t>
            </w:r>
            <w:proofErr w:type="spellEnd"/>
          </w:p>
        </w:tc>
        <w:tc>
          <w:tcPr>
            <w:tcW w:w="2950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Исходи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учења</w:t>
            </w:r>
            <w:proofErr w:type="spellEnd"/>
          </w:p>
        </w:tc>
        <w:tc>
          <w:tcPr>
            <w:tcW w:w="1212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Смјернице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за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наставнике</w:t>
            </w:r>
            <w:proofErr w:type="spellEnd"/>
          </w:p>
        </w:tc>
      </w:tr>
      <w:tr w:rsidR="006A766C" w:rsidRPr="006A766C" w:rsidTr="009C6C41">
        <w:trPr>
          <w:jc w:val="center"/>
        </w:trPr>
        <w:tc>
          <w:tcPr>
            <w:tcW w:w="838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1044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Знања</w:t>
            </w:r>
            <w:proofErr w:type="spellEnd"/>
          </w:p>
        </w:tc>
        <w:tc>
          <w:tcPr>
            <w:tcW w:w="1156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  <w:b/>
              </w:rPr>
              <w:t>Вјештине</w:t>
            </w:r>
            <w:proofErr w:type="spellEnd"/>
          </w:p>
        </w:tc>
        <w:tc>
          <w:tcPr>
            <w:tcW w:w="750" w:type="pc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212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6A766C" w:rsidRPr="006A766C" w:rsidTr="009C6C41">
        <w:trPr>
          <w:jc w:val="center"/>
        </w:trPr>
        <w:tc>
          <w:tcPr>
            <w:tcW w:w="838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2950" w:type="pct"/>
            <w:gridSpan w:val="7"/>
            <w:tcBorders>
              <w:left w:val="single" w:sz="4" w:space="0" w:color="auto"/>
            </w:tcBorders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212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</w:tr>
      <w:tr w:rsidR="006A766C" w:rsidRPr="006A766C" w:rsidTr="009C6C41">
        <w:trPr>
          <w:trHeight w:val="1550"/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6A766C" w:rsidRPr="006A766C" w:rsidRDefault="006A766C" w:rsidP="006A766C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bs-Cyrl-BA"/>
              </w:rPr>
              <w:t>Маневарски послови</w:t>
            </w:r>
          </w:p>
        </w:tc>
        <w:tc>
          <w:tcPr>
            <w:tcW w:w="1050" w:type="pct"/>
            <w:gridSpan w:val="4"/>
            <w:tcBorders>
              <w:left w:val="single" w:sz="4" w:space="0" w:color="auto"/>
            </w:tcBorders>
          </w:tcPr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квачење возила приликом маневрисања;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препозна маневарске радње приликом маневрисања;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постављање прелазница и спајање мехова;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откачивање возила;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наведе редослед поступака приликом квачења возила;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наведе врсте кретања приликом маневрисања;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дефинише маневарску вожњу;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дефинише локомотивску вожњу;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дефинише маневрисање одбачајем;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дефинише маневрисање на извлачњацима;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дефинише маневрисање спуштањем;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дефинише маневарско кретање помоћу ужета;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дефинише ручна маневарска кретања;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дефинише маневрисање ручним моторним шинским потискивачем;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дефинише маневрисање запрежним животињама и друмским возилима;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дефинише маневарска кретања преносницом и окретницом;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дефинише маневрисање за жељезничке потребе;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препозна маневрисање ради састављања и растављања возова;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наброји средства за кочење и заустављање возила приликом маневрисања;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разликује употребу притврдне и аутоматске кочнице;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наведе употребу ручне папуче;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организује осигурање кола и возила од одбјегнућа;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објанси чување безбедности радника за вријеме маневрисања;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наведе кола која захтијевају посебну обазривост при маневрисању;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подјелу жељезничке мреже ма ранжирне рејоне и дионице;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објасни подјелу маневарског рада између ранжирних и распоредних станица.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</w:tcBorders>
          </w:tcPr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примјени квачење возила приликом маневрисања;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покаже маневарске радње приликом маневрисања</w:t>
            </w:r>
            <w:r w:rsidRPr="006A766C">
              <w:rPr>
                <w:rFonts w:ascii="Times New Roman" w:eastAsia="Times New Roman" w:hAnsi="Times New Roman" w:cs="Times New Roman"/>
                <w:lang w:val="en-GB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примјени постављање прелазница и спајање мехова;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примјени откачивање возила;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покаже редослед поступака приликом квачења возила;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разликује врсте кретања приликом маневрисања;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примјени маневарску вожњу;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примјени локомотивску вожњу;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примјени маневрисање одбачајем;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примјени маневрисање на извлачњацима;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примјени маневрисање спуштањем;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примјени маневарско кретање помоћу ужета;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примјени ручна маневарска кретања;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примјени маневрисање ручним моторним шинским потискивачем;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 xml:space="preserve">примјени маневрисање 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запрежним животињама и друмским возилима;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примјени маневарска кретања преносницом и окретницом;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примјени маневрисање за жељезничке потребе;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примјени маневрисање ради састављања и растављања возова;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разликује средства за кочење и заустављање возила приликом маневрисања;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употријеби притврду и аутоматску кочницу;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употијеби ручну папучу;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комбинује осигурање кола и возила од одбјегнућа;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одреди оно што је битно за чување безбедности радника за вријеме маневрисања;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разликује кола која захтијевају посебну обазривост при маневрисању;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представи сликом подјелу жељезничке мреже на ранжирне рејоне и дионице;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45" w:hanging="150"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подјелу маневарског рада између ранжирних и распоредних станица</w:t>
            </w:r>
            <w:r w:rsidRPr="006A766C">
              <w:rPr>
                <w:rFonts w:ascii="Times New Roman" w:eastAsia="Times New Roman" w:hAnsi="Times New Roman" w:cs="Times New Roman"/>
                <w:lang w:val="en-GB"/>
              </w:rPr>
              <w:t>.</w:t>
            </w:r>
          </w:p>
        </w:tc>
        <w:tc>
          <w:tcPr>
            <w:tcW w:w="750" w:type="pct"/>
            <w:vMerge w:val="restart"/>
            <w:tcBorders>
              <w:left w:val="single" w:sz="4" w:space="0" w:color="auto"/>
            </w:tcBorders>
          </w:tcPr>
          <w:p w:rsidR="006A766C" w:rsidRPr="006A766C" w:rsidRDefault="006A766C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lastRenderedPageBreak/>
              <w:t>показује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интерес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самосталним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учењем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радом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напредовањем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самоувјерено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приступа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учењу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има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позитиван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став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новој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технологији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њеној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практичној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примјени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поштује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захтјеве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корисника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саобраћајних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услуга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6A766C" w:rsidRPr="006A766C" w:rsidRDefault="006A766C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савјесно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одговорно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уредно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</w:rPr>
              <w:t>и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правовремено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обавља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повјерене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послове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ефикасно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организује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вријеме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испољи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љубазност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комуникативност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ненаметљивост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</w:rPr>
              <w:t>и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lastRenderedPageBreak/>
              <w:t>флексибилност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</w:rPr>
              <w:t>у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односу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сарадницима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рјешава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проблеме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</w:rPr>
              <w:t>у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раду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6A766C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A766C" w:rsidRPr="006A766C" w:rsidRDefault="006A766C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  <w:lang w:val="hr-HR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испољи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позитиван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однос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професионално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hr-HR"/>
              </w:rPr>
              <w:t>–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етичким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нормама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  <w:lang w:val="en-GB"/>
              </w:rPr>
              <w:t xml:space="preserve">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вриједностима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предузимљивост;</w:t>
            </w:r>
          </w:p>
          <w:p w:rsidR="006A766C" w:rsidRPr="006A766C" w:rsidRDefault="006A766C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A766C">
              <w:rPr>
                <w:rFonts w:ascii="Times New Roman" w:eastAsia="Times New Roman" w:hAnsi="Times New Roman" w:cs="Times New Roman"/>
              </w:rPr>
              <w:t>испољава</w:t>
            </w:r>
            <w:proofErr w:type="spellEnd"/>
            <w:proofErr w:type="gram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способност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самостално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 xml:space="preserve">г </w:t>
            </w:r>
            <w:r w:rsidRPr="006A766C">
              <w:rPr>
                <w:rFonts w:ascii="Times New Roman" w:eastAsia="Times New Roman" w:hAnsi="Times New Roman" w:cs="Times New Roman"/>
              </w:rPr>
              <w:t>р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ешавања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проблема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6A766C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</w:tc>
        <w:tc>
          <w:tcPr>
            <w:tcW w:w="1212" w:type="pct"/>
            <w:gridSpan w:val="3"/>
            <w:vMerge w:val="restart"/>
            <w:tcBorders>
              <w:left w:val="single" w:sz="4" w:space="0" w:color="auto"/>
            </w:tcBorders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З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а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извођење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наставе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користити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стандардну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учионицу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која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посједује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мултимедијалну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опрему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свим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јединицама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примјенити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фронтални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облик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рада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користећи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предавања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кратког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трајања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предавања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уз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употребу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пројекција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предавања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уз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употребу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штампаног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материјала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предавања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комбинована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с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питањима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)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комбинован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доле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наведеним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облицима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методама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>: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Примјенити индивидуални облик рада при изучавању: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квачења возила приликом маневрисања;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маневарских радњи приликом маневрисања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постављања прелазница и спајања мехова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откачивања возила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редоследа поступака приликом квачења возила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врста кретања приликом маневрисања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маневарске вожње;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локомотивске вожње;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маневрисања на извлачњацима;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маневрисања спуштањем;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маневарског кретања помоћу ужета;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маневрисања ручним моторним шинским потискивачем;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маневрисања запрежним животињама и друмским возилима;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маневарских кретања преносницом и окретницом;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маневрисања за жељезничке потребе;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маневрисања ради састављања и растављања возова;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средстава за кочење и заустављање возила приликом маневрисања;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употребе притврдне и аутоматске кочнице;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осигурања кола и возила од одбјегнућа;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чувања безбедности радника за вријеме маневрисања;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посебне обазривости приликом маневрисања појединим колима;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подјеле мреже на ранжирне рејоне и дионице;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подјеле маневарског рада између ранжирних и распоредних станица;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општих одредаба о састављању возова;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увршћивања кола у возове за превоз путника;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lastRenderedPageBreak/>
              <w:t>увршћивања кола и других возила у теретне возове;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увршћивања кола товарених опасним материјама;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квачења возила зависно од врсте воза и кочница;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дужине и броја осовина воза;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масе воза и вучене масе локомотиве;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припреме возова у полазној станици;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опреме воза и вучног возила;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пропратних исправа воза;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основне исправе воза;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Путни лист С-57;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основне исправе вучног возила;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извјештаја о саставу и кочењу воза;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теретнице и њеног вођења;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плана рада воза;</w:t>
            </w:r>
          </w:p>
          <w:p w:rsidR="006A766C" w:rsidRPr="006A766C" w:rsidRDefault="006A766C" w:rsidP="006A766C">
            <w:pPr>
              <w:numPr>
                <w:ilvl w:val="0"/>
                <w:numId w:val="3"/>
              </w:numPr>
              <w:spacing w:after="0" w:line="240" w:lineRule="auto"/>
              <w:ind w:left="139" w:hanging="139"/>
              <w:contextualSpacing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поступка када се Путни лист изгуби или постане неупотребљив.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Примјенити групни облик рада при изучавању: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маневрисања одбачајем;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-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употребе ручне папуче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употребе вучних возила у саобраћају;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- Путни лист С-56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.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У електронској форми приказати: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- маневарску вожњу;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маневрисање одбачајем;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- ручну папучу;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 xml:space="preserve">- подјелу мреже на ранжирне 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lastRenderedPageBreak/>
              <w:t>рејоне и дионице;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- употребу вучних возила у саобраћају;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- Путни лист С-56;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- основну исправу вучног возила;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- извјештај о саставу и кочењу воза;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- теретницу;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- план рада воза</w:t>
            </w:r>
            <w:r w:rsidRPr="006A766C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6A766C" w:rsidRPr="006A766C" w:rsidTr="009C6C41">
        <w:trPr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6A766C" w:rsidRPr="006A766C" w:rsidRDefault="006A766C" w:rsidP="006A766C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bs-Cyrl-BA"/>
              </w:rPr>
              <w:lastRenderedPageBreak/>
              <w:t xml:space="preserve">Састављање возова </w:t>
            </w:r>
          </w:p>
        </w:tc>
        <w:tc>
          <w:tcPr>
            <w:tcW w:w="1050" w:type="pct"/>
            <w:gridSpan w:val="4"/>
            <w:tcBorders>
              <w:left w:val="single" w:sz="4" w:space="0" w:color="auto"/>
            </w:tcBorders>
          </w:tcPr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опште одредбе о састављању возова;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увршћивање кола у возове за превоз путника;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увршћивање кола и других возила у теретне возове;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увршћивање кола товарених опасним материјама;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квачење возила зависно од врсте воза и кочница;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дужину и број осовина воза;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дефинише масу воза и вучену масу локомотиве;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наведе употребу вучних возила у саобраћају;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припрему возова у полазној станици;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опрему воза и вучног возила.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</w:tcBorders>
          </w:tcPr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примјени опште одредбе о састављању возова;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примјени увршћивање кола у возове за превоз путника;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примјени увршћивање кола и других возила у теретне возове;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примјени увршћивање кола товарених опасним материјама;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примјени квачење возила зависно од врсте воза и кочница;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дужину и број осовина воза;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разликује масу воза и вучену масу локомотиве;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разликује употребу вучних возила у саобраћају;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припрему возова у полазној станици;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разликује опрему воза и вучног возила.</w:t>
            </w:r>
          </w:p>
        </w:tc>
        <w:tc>
          <w:tcPr>
            <w:tcW w:w="750" w:type="pct"/>
            <w:vMerge/>
            <w:tcBorders>
              <w:left w:val="single" w:sz="4" w:space="0" w:color="auto"/>
            </w:tcBorders>
          </w:tcPr>
          <w:p w:rsidR="006A766C" w:rsidRPr="006A766C" w:rsidRDefault="006A766C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</w:p>
        </w:tc>
        <w:tc>
          <w:tcPr>
            <w:tcW w:w="1212" w:type="pct"/>
            <w:gridSpan w:val="3"/>
            <w:vMerge/>
            <w:tcBorders>
              <w:left w:val="single" w:sz="4" w:space="0" w:color="auto"/>
            </w:tcBorders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A766C" w:rsidRPr="006A766C" w:rsidTr="009C6C41">
        <w:trPr>
          <w:jc w:val="center"/>
        </w:trPr>
        <w:tc>
          <w:tcPr>
            <w:tcW w:w="838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6A766C" w:rsidRPr="006A766C" w:rsidRDefault="006A766C" w:rsidP="006A766C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bs-Cyrl-BA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bs-Cyrl-BA"/>
              </w:rPr>
              <w:t>Пропратне исправе воза</w:t>
            </w:r>
          </w:p>
        </w:tc>
        <w:tc>
          <w:tcPr>
            <w:tcW w:w="1050" w:type="pct"/>
            <w:gridSpan w:val="4"/>
            <w:tcBorders>
              <w:left w:val="single" w:sz="4" w:space="0" w:color="auto"/>
            </w:tcBorders>
          </w:tcPr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разликује пропратне исправе воза;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препозна основну исправу воза – Путни лист;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обасни Путни лист С-56;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објасни Путни лист С-57;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основну исправу вучног возила;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извјештај о саставу и кочењу воза;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теретницу и њено вођење;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план рада воза;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spacing w:after="0" w:line="240" w:lineRule="auto"/>
              <w:ind w:left="189" w:hanging="189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објасни поступак када се Путни лист изгуби или постане неупотребљив.</w:t>
            </w:r>
          </w:p>
        </w:tc>
        <w:tc>
          <w:tcPr>
            <w:tcW w:w="1150" w:type="pct"/>
            <w:gridSpan w:val="2"/>
            <w:tcBorders>
              <w:left w:val="single" w:sz="4" w:space="0" w:color="auto"/>
            </w:tcBorders>
          </w:tcPr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групише пропратне исправе воза;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основну исправу воза – Путни лист;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образложи и представи Путни лист С-56;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Путни лист С-57;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основну исправу вучног возила;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извјештај о саставу и кочењу воза;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теретницу и њено вођење;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образложи и представи план рада воза;</w:t>
            </w:r>
          </w:p>
          <w:p w:rsidR="006A766C" w:rsidRPr="006A766C" w:rsidRDefault="006A766C" w:rsidP="006A766C">
            <w:pPr>
              <w:numPr>
                <w:ilvl w:val="0"/>
                <w:numId w:val="5"/>
              </w:numPr>
              <w:tabs>
                <w:tab w:val="left" w:pos="137"/>
              </w:tabs>
              <w:spacing w:after="0" w:line="240" w:lineRule="auto"/>
              <w:ind w:left="138" w:hanging="138"/>
              <w:rPr>
                <w:rFonts w:ascii="Times New Roman" w:eastAsia="Times New Roman" w:hAnsi="Times New Roman" w:cs="Times New Roman"/>
                <w:lang w:val="sr-Cyrl-RS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разликује поступак када се Путни лист изгуби или постане неупотребљив.</w:t>
            </w:r>
          </w:p>
        </w:tc>
        <w:tc>
          <w:tcPr>
            <w:tcW w:w="750" w:type="pct"/>
            <w:vMerge/>
            <w:tcBorders>
              <w:left w:val="single" w:sz="4" w:space="0" w:color="auto"/>
            </w:tcBorders>
          </w:tcPr>
          <w:p w:rsidR="006A766C" w:rsidRPr="006A766C" w:rsidRDefault="006A766C" w:rsidP="006A766C">
            <w:pPr>
              <w:numPr>
                <w:ilvl w:val="0"/>
                <w:numId w:val="7"/>
              </w:numPr>
              <w:spacing w:after="0" w:line="240" w:lineRule="auto"/>
              <w:ind w:left="175" w:hanging="142"/>
              <w:contextualSpacing/>
              <w:rPr>
                <w:rFonts w:ascii="Times New Roman" w:eastAsia="Times New Roman" w:hAnsi="Times New Roman" w:cs="Times New Roman"/>
                <w:lang w:val="bs-Latn-BA"/>
              </w:rPr>
            </w:pPr>
          </w:p>
        </w:tc>
        <w:tc>
          <w:tcPr>
            <w:tcW w:w="1212" w:type="pct"/>
            <w:gridSpan w:val="3"/>
            <w:vMerge/>
            <w:tcBorders>
              <w:left w:val="single" w:sz="4" w:space="0" w:color="auto"/>
            </w:tcBorders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6A766C" w:rsidRPr="006A766C" w:rsidTr="009C6C41">
        <w:trPr>
          <w:trHeight w:val="464"/>
          <w:jc w:val="center"/>
        </w:trPr>
        <w:tc>
          <w:tcPr>
            <w:tcW w:w="5000" w:type="pct"/>
            <w:gridSpan w:val="12"/>
            <w:vAlign w:val="center"/>
          </w:tcPr>
          <w:p w:rsidR="006A766C" w:rsidRPr="006A766C" w:rsidRDefault="006A766C" w:rsidP="006A766C">
            <w:pPr>
              <w:spacing w:after="0" w:line="240" w:lineRule="auto"/>
              <w:ind w:left="397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Практична настава, Служба вуче, Употреба кола и локомотива, Вучна возила, Техничка колска служба, Транспортно рачуноводство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Извори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које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наставник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може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користити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у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раду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>:</w:t>
            </w:r>
          </w:p>
          <w:p w:rsidR="006A766C" w:rsidRPr="006A766C" w:rsidRDefault="006A766C" w:rsidP="006A766C">
            <w:pPr>
              <w:numPr>
                <w:ilvl w:val="0"/>
                <w:numId w:val="6"/>
              </w:numPr>
              <w:spacing w:after="0" w:line="240" w:lineRule="auto"/>
              <w:ind w:left="397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Миодраг Љ. Милетић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, 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„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Организација жељезничког саобраћаја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“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, </w:t>
            </w:r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>1998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.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, 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З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авод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за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уџбенике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sr-Cyrl-RS"/>
              </w:rPr>
              <w:t xml:space="preserve"> и наставна средства</w:t>
            </w:r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Београд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6"/>
              </w:numPr>
              <w:spacing w:after="0" w:line="240" w:lineRule="auto"/>
              <w:ind w:left="397" w:hanging="28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остали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одобрени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уџбеници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6"/>
              </w:numPr>
              <w:spacing w:after="0" w:line="240" w:lineRule="auto"/>
              <w:ind w:left="397" w:hanging="28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стручна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литература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6"/>
              </w:numPr>
              <w:spacing w:after="0" w:line="240" w:lineRule="auto"/>
              <w:ind w:left="397" w:hanging="284"/>
              <w:jc w:val="both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правилници и упутства која важе на ЖРС;</w:t>
            </w:r>
          </w:p>
          <w:p w:rsidR="006A766C" w:rsidRPr="006A766C" w:rsidRDefault="006A766C" w:rsidP="006A766C">
            <w:pPr>
              <w:numPr>
                <w:ilvl w:val="0"/>
                <w:numId w:val="6"/>
              </w:numPr>
              <w:spacing w:after="0" w:line="240" w:lineRule="auto"/>
              <w:ind w:left="397" w:hanging="28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видео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записи</w:t>
            </w:r>
            <w:proofErr w:type="spell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;</w:t>
            </w:r>
          </w:p>
          <w:p w:rsidR="006A766C" w:rsidRPr="006A766C" w:rsidRDefault="006A766C" w:rsidP="006A766C">
            <w:pPr>
              <w:numPr>
                <w:ilvl w:val="0"/>
                <w:numId w:val="6"/>
              </w:numPr>
              <w:spacing w:after="0" w:line="240" w:lineRule="auto"/>
              <w:ind w:left="397" w:hanging="284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A766C">
              <w:rPr>
                <w:rFonts w:ascii="Times New Roman" w:eastAsia="Times New Roman" w:hAnsi="Times New Roman" w:cs="Times New Roman"/>
              </w:rPr>
              <w:t>интернет</w:t>
            </w:r>
            <w:proofErr w:type="spellEnd"/>
            <w:proofErr w:type="gramEnd"/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.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6A766C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A766C" w:rsidRPr="006A766C" w:rsidTr="009C6C41">
        <w:trPr>
          <w:jc w:val="center"/>
        </w:trPr>
        <w:tc>
          <w:tcPr>
            <w:tcW w:w="5000" w:type="pct"/>
            <w:gridSpan w:val="12"/>
          </w:tcPr>
          <w:p w:rsidR="006A766C" w:rsidRPr="006A766C" w:rsidRDefault="006A766C" w:rsidP="006A766C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bs-Cyrl-BA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Праћење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вредновање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оцјењивање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ученичких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постигнућа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врши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континуирано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, у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складу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Правилником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. О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техникама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критеријумима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оцјењивања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ученике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треба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упознати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почетку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изучавања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модула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. 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Оцјењивање ће се провести кроз двије технике: усмено испитивање и тест.</w:t>
            </w:r>
          </w:p>
          <w:p w:rsidR="006A766C" w:rsidRPr="006A766C" w:rsidRDefault="006A766C" w:rsidP="006A766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Наставник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може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оцјењује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>:</w:t>
            </w:r>
          </w:p>
          <w:p w:rsidR="006A766C" w:rsidRPr="006A766C" w:rsidRDefault="006A766C" w:rsidP="006A766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тачност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прецизност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знања;</w:t>
            </w:r>
          </w:p>
          <w:p w:rsidR="006A766C" w:rsidRPr="006A766C" w:rsidRDefault="006A766C" w:rsidP="006A766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t>степен укључености у рад у одјељењу и групи;</w:t>
            </w:r>
          </w:p>
          <w:p w:rsidR="006A766C" w:rsidRPr="006A766C" w:rsidRDefault="006A766C" w:rsidP="006A766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активност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ученика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A766C">
              <w:rPr>
                <w:rFonts w:ascii="Times New Roman" w:eastAsia="Times New Roman" w:hAnsi="Times New Roman" w:cs="Times New Roman"/>
              </w:rPr>
              <w:t>настави</w:t>
            </w:r>
            <w:proofErr w:type="spellEnd"/>
            <w:r w:rsidRPr="006A766C">
              <w:rPr>
                <w:rFonts w:ascii="Times New Roman" w:eastAsia="Times New Roman" w:hAnsi="Times New Roman" w:cs="Times New Roman"/>
              </w:rPr>
              <w:t>,</w:t>
            </w:r>
          </w:p>
          <w:p w:rsidR="006A766C" w:rsidRPr="006A766C" w:rsidRDefault="006A766C" w:rsidP="006A766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</w:rPr>
            </w:pPr>
            <w:r w:rsidRPr="006A766C">
              <w:rPr>
                <w:rFonts w:ascii="Times New Roman" w:eastAsia="Times New Roman" w:hAnsi="Times New Roman" w:cs="Times New Roman"/>
                <w:lang w:val="bs-Cyrl-BA"/>
              </w:rPr>
              <w:lastRenderedPageBreak/>
              <w:t>прецизност датих солуција и комплетност датог одговора на тесту.</w:t>
            </w:r>
          </w:p>
        </w:tc>
      </w:tr>
    </w:tbl>
    <w:p w:rsidR="006A766C" w:rsidRPr="006A766C" w:rsidRDefault="006A766C" w:rsidP="006A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s-Cyrl-BA"/>
        </w:rPr>
      </w:pPr>
    </w:p>
    <w:p w:rsidR="006A766C" w:rsidRPr="006A766C" w:rsidRDefault="006A766C" w:rsidP="006A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A766C" w:rsidRPr="006A766C" w:rsidRDefault="006A766C" w:rsidP="006A7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1B9C" w:rsidRDefault="006A766C">
      <w:bookmarkStart w:id="0" w:name="_GoBack"/>
      <w:bookmarkEnd w:id="0"/>
    </w:p>
    <w:sectPr w:rsidR="006D1B9C" w:rsidSect="00327D3D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840C7"/>
    <w:multiLevelType w:val="hybridMultilevel"/>
    <w:tmpl w:val="94A05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B475F"/>
    <w:multiLevelType w:val="hybridMultilevel"/>
    <w:tmpl w:val="980ECBB8"/>
    <w:lvl w:ilvl="0" w:tplc="FBEE7AC6">
      <w:start w:val="1"/>
      <w:numFmt w:val="bullet"/>
      <w:lvlText w:val="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C11883"/>
    <w:multiLevelType w:val="hybridMultilevel"/>
    <w:tmpl w:val="277C1F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E7DCC"/>
    <w:multiLevelType w:val="hybridMultilevel"/>
    <w:tmpl w:val="A8623E18"/>
    <w:lvl w:ilvl="0" w:tplc="3F10C4B4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6">
    <w:nsid w:val="7CB75435"/>
    <w:multiLevelType w:val="hybridMultilevel"/>
    <w:tmpl w:val="9C7245FC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66C"/>
    <w:rsid w:val="006A766C"/>
    <w:rsid w:val="00706ECD"/>
    <w:rsid w:val="009C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2022-04-10T11:24:00Z</dcterms:created>
  <dcterms:modified xsi:type="dcterms:W3CDTF">2022-04-10T11:29:00Z</dcterms:modified>
</cp:coreProperties>
</file>